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6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Março/2026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27.786,28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18.239,32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28.969,60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558ed5" w:themeColor="text2" w:themeTint="99" w:fill="558ed5" w:themeFill="text2" w:themeFillTint="99"/>
              <w:tabs>
                <w:tab w:val="center" w:leader="none" w:pos="1013"/>
              </w:tabs>
              <w:spacing/>
              <w:ind/>
              <w:jc w:val="center"/>
              <w:rPr>
                <w:b/>
                <w:bCs/>
                <w:lang w:val="pt-BR"/>
                <w14:ligatures w14:val="none"/>
              </w:rPr>
            </w:pPr>
            <w:r>
              <w:rPr>
                <w:b/>
                <w:bCs/>
                <w:lang w:val="pt-BR"/>
                <w14:ligatures w14:val="none"/>
              </w:rPr>
              <w:t xml:space="preserve">CONSCIENTE</w:t>
            </w:r>
            <w:r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:lang w:val="pt-BR"/>
                <w14:ligatures w14:val="none"/>
              </w:rPr>
            </w:r>
            <w:r>
              <w:rPr>
                <w:b/>
                <w:bCs/>
                <w:lang w:val="pt-BR"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Outubro/2025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26.958,83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20.002,06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Novembro/2025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29.859,74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21.292,03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Dezembro/2025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29.639,67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22.108,52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1AE72F26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Janeiro/2026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18F7F877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27.296,35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7961A3F6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18.910,17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27FCD376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Fevereiro/2026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28D09CD7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32.276,71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5C6951A6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 21.243,77</w:t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3D75F593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Março/2026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6F91141D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27.786,28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00B519A4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  18.239,32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24</cp:revision>
  <dcterms:created xsi:type="dcterms:W3CDTF">2024-07-11T16:46:52Z</dcterms:created>
  <dcterms:modified xsi:type="dcterms:W3CDTF">2026-04-24T19:18:51Z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